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111E8" w:rsidRDefault="00F111E8" w:rsidP="00ED064F">
      <w:pPr>
        <w:spacing w:after="0" w:line="480" w:lineRule="auto"/>
        <w:ind w:firstLine="720"/>
        <w:rPr>
          <w:rFonts w:ascii="Times New Roman" w:eastAsia="Times New Roman" w:hAnsi="Times New Roman" w:cs="Times New Roman"/>
          <w:color w:val="2E2E2E"/>
          <w:sz w:val="24"/>
          <w:szCs w:val="24"/>
          <w:shd w:val="clear" w:color="auto" w:fill="FFFFFF"/>
        </w:rPr>
      </w:pPr>
    </w:p>
    <w:p w:rsidR="00F111E8" w:rsidRDefault="00F111E8" w:rsidP="00ED064F">
      <w:pPr>
        <w:spacing w:after="0" w:line="480" w:lineRule="auto"/>
        <w:ind w:firstLine="720"/>
        <w:rPr>
          <w:rFonts w:ascii="Times New Roman" w:eastAsia="Times New Roman" w:hAnsi="Times New Roman" w:cs="Times New Roman"/>
          <w:color w:val="2E2E2E"/>
          <w:sz w:val="24"/>
          <w:szCs w:val="24"/>
          <w:shd w:val="clear" w:color="auto" w:fill="FFFFFF"/>
        </w:rPr>
      </w:pPr>
    </w:p>
    <w:p w:rsidR="00090777" w:rsidRDefault="00090777" w:rsidP="00ED064F">
      <w:pPr>
        <w:spacing w:after="0" w:line="480" w:lineRule="auto"/>
        <w:ind w:firstLine="720"/>
        <w:rPr>
          <w:rFonts w:ascii="Times New Roman" w:eastAsia="Times New Roman" w:hAnsi="Times New Roman" w:cs="Times New Roman"/>
          <w:color w:val="2E2E2E"/>
          <w:sz w:val="24"/>
          <w:szCs w:val="24"/>
          <w:shd w:val="clear" w:color="auto" w:fill="FFFFFF"/>
        </w:rPr>
      </w:pPr>
    </w:p>
    <w:p w:rsidR="00090777" w:rsidRDefault="00090777" w:rsidP="00ED064F">
      <w:pPr>
        <w:spacing w:after="0" w:line="480" w:lineRule="auto"/>
        <w:ind w:firstLine="720"/>
        <w:rPr>
          <w:rFonts w:ascii="Times New Roman" w:eastAsia="Times New Roman" w:hAnsi="Times New Roman" w:cs="Times New Roman"/>
          <w:color w:val="2E2E2E"/>
          <w:sz w:val="24"/>
          <w:szCs w:val="24"/>
          <w:shd w:val="clear" w:color="auto" w:fill="FFFFFF"/>
        </w:rPr>
      </w:pPr>
    </w:p>
    <w:p w:rsidR="00090777" w:rsidRDefault="00090777" w:rsidP="00ED064F">
      <w:pPr>
        <w:spacing w:after="0" w:line="480" w:lineRule="auto"/>
        <w:ind w:firstLine="720"/>
        <w:rPr>
          <w:rFonts w:ascii="Times New Roman" w:eastAsia="Times New Roman" w:hAnsi="Times New Roman" w:cs="Times New Roman"/>
          <w:color w:val="2E2E2E"/>
          <w:sz w:val="24"/>
          <w:szCs w:val="24"/>
          <w:shd w:val="clear" w:color="auto" w:fill="FFFFFF"/>
        </w:rPr>
      </w:pPr>
    </w:p>
    <w:p w:rsidR="00090777" w:rsidRDefault="00090777" w:rsidP="00ED064F">
      <w:pPr>
        <w:spacing w:after="0" w:line="480" w:lineRule="auto"/>
        <w:ind w:firstLine="720"/>
        <w:rPr>
          <w:rFonts w:ascii="Times New Roman" w:eastAsia="Times New Roman" w:hAnsi="Times New Roman" w:cs="Times New Roman"/>
          <w:color w:val="2E2E2E"/>
          <w:sz w:val="24"/>
          <w:szCs w:val="24"/>
          <w:shd w:val="clear" w:color="auto" w:fill="FFFFFF"/>
        </w:rPr>
      </w:pPr>
    </w:p>
    <w:p w:rsidR="00090777" w:rsidRDefault="00090777" w:rsidP="00ED064F">
      <w:pPr>
        <w:spacing w:after="0" w:line="480" w:lineRule="auto"/>
        <w:ind w:firstLine="720"/>
        <w:rPr>
          <w:rFonts w:ascii="Times New Roman" w:eastAsia="Times New Roman" w:hAnsi="Times New Roman" w:cs="Times New Roman"/>
          <w:color w:val="2E2E2E"/>
          <w:sz w:val="24"/>
          <w:szCs w:val="24"/>
          <w:shd w:val="clear" w:color="auto" w:fill="FFFFFF"/>
        </w:rPr>
      </w:pPr>
    </w:p>
    <w:p w:rsidR="00090777" w:rsidRDefault="00090777" w:rsidP="00ED064F">
      <w:pPr>
        <w:spacing w:after="0" w:line="480" w:lineRule="auto"/>
        <w:ind w:firstLine="720"/>
        <w:rPr>
          <w:rFonts w:ascii="Times New Roman" w:eastAsia="Times New Roman" w:hAnsi="Times New Roman" w:cs="Times New Roman"/>
          <w:color w:val="2E2E2E"/>
          <w:sz w:val="24"/>
          <w:szCs w:val="24"/>
          <w:shd w:val="clear" w:color="auto" w:fill="FFFFFF"/>
        </w:rPr>
      </w:pPr>
    </w:p>
    <w:p w:rsidR="00090777" w:rsidRDefault="00090777" w:rsidP="00ED064F">
      <w:pPr>
        <w:spacing w:after="0" w:line="480" w:lineRule="auto"/>
        <w:ind w:firstLine="720"/>
        <w:rPr>
          <w:rFonts w:ascii="Times New Roman" w:eastAsia="Times New Roman" w:hAnsi="Times New Roman" w:cs="Times New Roman"/>
          <w:color w:val="2E2E2E"/>
          <w:sz w:val="24"/>
          <w:szCs w:val="24"/>
          <w:shd w:val="clear" w:color="auto" w:fill="FFFFFF"/>
        </w:rPr>
      </w:pPr>
    </w:p>
    <w:p w:rsidR="00F111E8" w:rsidRDefault="00F111E8" w:rsidP="00ED064F">
      <w:pPr>
        <w:spacing w:after="0" w:line="480" w:lineRule="auto"/>
        <w:ind w:firstLine="720"/>
        <w:jc w:val="center"/>
        <w:rPr>
          <w:rFonts w:ascii="Times New Roman" w:eastAsia="Times New Roman" w:hAnsi="Times New Roman" w:cs="Times New Roman"/>
          <w:color w:val="2E2E2E"/>
          <w:sz w:val="24"/>
          <w:szCs w:val="24"/>
          <w:shd w:val="clear" w:color="auto" w:fill="FFFFFF"/>
        </w:rPr>
      </w:pPr>
      <w:bookmarkStart w:id="0" w:name="_GoBack"/>
      <w:r>
        <w:rPr>
          <w:rFonts w:ascii="Times New Roman" w:eastAsia="Times New Roman" w:hAnsi="Times New Roman" w:cs="Times New Roman"/>
          <w:color w:val="2E2E2E"/>
          <w:sz w:val="24"/>
          <w:szCs w:val="24"/>
          <w:shd w:val="clear" w:color="auto" w:fill="FFFFFF"/>
        </w:rPr>
        <w:t>Debriefing models</w:t>
      </w:r>
    </w:p>
    <w:bookmarkEnd w:id="0"/>
    <w:p w:rsidR="00F111E8" w:rsidRDefault="00F111E8" w:rsidP="00ED064F">
      <w:pPr>
        <w:spacing w:after="0" w:line="480" w:lineRule="auto"/>
        <w:ind w:firstLine="720"/>
        <w:jc w:val="center"/>
        <w:rPr>
          <w:rFonts w:ascii="Times New Roman" w:eastAsia="Times New Roman" w:hAnsi="Times New Roman" w:cs="Times New Roman"/>
          <w:color w:val="2E2E2E"/>
          <w:sz w:val="24"/>
          <w:szCs w:val="24"/>
          <w:shd w:val="clear" w:color="auto" w:fill="FFFFFF"/>
        </w:rPr>
      </w:pPr>
      <w:r>
        <w:rPr>
          <w:rFonts w:ascii="Times New Roman" w:eastAsia="Times New Roman" w:hAnsi="Times New Roman" w:cs="Times New Roman"/>
          <w:color w:val="2E2E2E"/>
          <w:sz w:val="24"/>
          <w:szCs w:val="24"/>
          <w:shd w:val="clear" w:color="auto" w:fill="FFFFFF"/>
        </w:rPr>
        <w:t>Name</w:t>
      </w:r>
    </w:p>
    <w:p w:rsidR="00F111E8" w:rsidRDefault="00F111E8" w:rsidP="00ED064F">
      <w:pPr>
        <w:spacing w:after="0" w:line="480" w:lineRule="auto"/>
        <w:ind w:firstLine="720"/>
        <w:jc w:val="center"/>
        <w:rPr>
          <w:rFonts w:ascii="Times New Roman" w:eastAsia="Times New Roman" w:hAnsi="Times New Roman" w:cs="Times New Roman"/>
          <w:color w:val="2E2E2E"/>
          <w:sz w:val="24"/>
          <w:szCs w:val="24"/>
          <w:shd w:val="clear" w:color="auto" w:fill="FFFFFF"/>
        </w:rPr>
      </w:pPr>
      <w:r>
        <w:rPr>
          <w:rFonts w:ascii="Times New Roman" w:eastAsia="Times New Roman" w:hAnsi="Times New Roman" w:cs="Times New Roman"/>
          <w:color w:val="2E2E2E"/>
          <w:sz w:val="24"/>
          <w:szCs w:val="24"/>
          <w:shd w:val="clear" w:color="auto" w:fill="FFFFFF"/>
        </w:rPr>
        <w:t>Institution Affiliation</w:t>
      </w:r>
    </w:p>
    <w:p w:rsidR="00F111E8" w:rsidRDefault="00F111E8" w:rsidP="00ED064F">
      <w:pPr>
        <w:spacing w:after="0" w:line="480" w:lineRule="auto"/>
        <w:ind w:firstLine="720"/>
        <w:jc w:val="center"/>
        <w:rPr>
          <w:rFonts w:ascii="Times New Roman" w:eastAsia="Times New Roman" w:hAnsi="Times New Roman" w:cs="Times New Roman"/>
          <w:color w:val="2E2E2E"/>
          <w:sz w:val="24"/>
          <w:szCs w:val="24"/>
          <w:shd w:val="clear" w:color="auto" w:fill="FFFFFF"/>
        </w:rPr>
      </w:pPr>
      <w:r>
        <w:rPr>
          <w:rFonts w:ascii="Times New Roman" w:eastAsia="Times New Roman" w:hAnsi="Times New Roman" w:cs="Times New Roman"/>
          <w:color w:val="2E2E2E"/>
          <w:sz w:val="24"/>
          <w:szCs w:val="24"/>
          <w:shd w:val="clear" w:color="auto" w:fill="FFFFFF"/>
        </w:rPr>
        <w:t>Instructor</w:t>
      </w:r>
    </w:p>
    <w:p w:rsidR="00F111E8" w:rsidRDefault="00F111E8" w:rsidP="00ED064F">
      <w:pPr>
        <w:spacing w:after="0" w:line="480" w:lineRule="auto"/>
        <w:ind w:firstLine="720"/>
        <w:jc w:val="center"/>
        <w:rPr>
          <w:rFonts w:ascii="Times New Roman" w:eastAsia="Times New Roman" w:hAnsi="Times New Roman" w:cs="Times New Roman"/>
          <w:color w:val="2E2E2E"/>
          <w:sz w:val="24"/>
          <w:szCs w:val="24"/>
          <w:shd w:val="clear" w:color="auto" w:fill="FFFFFF"/>
        </w:rPr>
      </w:pPr>
      <w:r>
        <w:rPr>
          <w:rFonts w:ascii="Times New Roman" w:eastAsia="Times New Roman" w:hAnsi="Times New Roman" w:cs="Times New Roman"/>
          <w:color w:val="2E2E2E"/>
          <w:sz w:val="24"/>
          <w:szCs w:val="24"/>
          <w:shd w:val="clear" w:color="auto" w:fill="FFFFFF"/>
        </w:rPr>
        <w:t>Date</w:t>
      </w:r>
    </w:p>
    <w:p w:rsidR="00ED064F" w:rsidRDefault="00ED064F" w:rsidP="00ED064F">
      <w:pPr>
        <w:spacing w:after="0" w:line="480" w:lineRule="auto"/>
        <w:rPr>
          <w:rFonts w:ascii="Times New Roman" w:eastAsia="Times New Roman" w:hAnsi="Times New Roman" w:cs="Times New Roman"/>
          <w:color w:val="2E2E2E"/>
          <w:sz w:val="24"/>
          <w:szCs w:val="24"/>
          <w:shd w:val="clear" w:color="auto" w:fill="FFFFFF"/>
        </w:rPr>
      </w:pPr>
      <w:r>
        <w:rPr>
          <w:rFonts w:ascii="Times New Roman" w:eastAsia="Times New Roman" w:hAnsi="Times New Roman" w:cs="Times New Roman"/>
          <w:color w:val="2E2E2E"/>
          <w:sz w:val="24"/>
          <w:szCs w:val="24"/>
          <w:shd w:val="clear" w:color="auto" w:fill="FFFFFF"/>
        </w:rPr>
        <w:br w:type="page"/>
      </w:r>
    </w:p>
    <w:p w:rsidR="00ED064F" w:rsidRDefault="00ED064F" w:rsidP="00ED064F">
      <w:pPr>
        <w:spacing w:after="0" w:line="480" w:lineRule="auto"/>
        <w:ind w:firstLine="720"/>
        <w:jc w:val="center"/>
        <w:rPr>
          <w:rFonts w:ascii="Times New Roman" w:eastAsia="Times New Roman" w:hAnsi="Times New Roman" w:cs="Times New Roman"/>
          <w:color w:val="2E2E2E"/>
          <w:sz w:val="24"/>
          <w:szCs w:val="24"/>
          <w:shd w:val="clear" w:color="auto" w:fill="FFFFFF"/>
        </w:rPr>
      </w:pPr>
      <w:r>
        <w:rPr>
          <w:rFonts w:ascii="Times New Roman" w:eastAsia="Times New Roman" w:hAnsi="Times New Roman" w:cs="Times New Roman"/>
          <w:color w:val="2E2E2E"/>
          <w:sz w:val="24"/>
          <w:szCs w:val="24"/>
          <w:shd w:val="clear" w:color="auto" w:fill="FFFFFF"/>
        </w:rPr>
        <w:lastRenderedPageBreak/>
        <w:t>Debriefing models</w:t>
      </w:r>
    </w:p>
    <w:p w:rsidR="008F7C1D" w:rsidRPr="00291D89" w:rsidRDefault="002066C9" w:rsidP="00ED064F">
      <w:pPr>
        <w:spacing w:after="0" w:line="480" w:lineRule="auto"/>
        <w:ind w:firstLine="720"/>
        <w:rPr>
          <w:rFonts w:ascii="Times New Roman" w:eastAsia="Times New Roman" w:hAnsi="Times New Roman" w:cs="Times New Roman"/>
          <w:b/>
          <w:bCs/>
          <w:color w:val="2E2E2E"/>
          <w:sz w:val="24"/>
          <w:szCs w:val="24"/>
          <w:shd w:val="clear" w:color="auto" w:fill="FFFFFF"/>
        </w:rPr>
      </w:pPr>
      <w:r w:rsidRPr="00291D89">
        <w:rPr>
          <w:rFonts w:ascii="Times New Roman" w:eastAsia="Times New Roman" w:hAnsi="Times New Roman" w:cs="Times New Roman"/>
          <w:b/>
          <w:bCs/>
          <w:color w:val="2E2E2E"/>
          <w:sz w:val="24"/>
          <w:szCs w:val="24"/>
          <w:shd w:val="clear" w:color="auto" w:fill="FFFFFF"/>
        </w:rPr>
        <w:t>Introduction</w:t>
      </w:r>
    </w:p>
    <w:p w:rsidR="008F7C1D" w:rsidRPr="00C55ECD" w:rsidRDefault="002066C9" w:rsidP="00ED064F">
      <w:pPr>
        <w:spacing w:after="0" w:line="480" w:lineRule="auto"/>
        <w:ind w:firstLine="720"/>
        <w:jc w:val="both"/>
        <w:rPr>
          <w:rFonts w:ascii="Times New Roman" w:eastAsia="Times New Roman" w:hAnsi="Times New Roman" w:cs="Times New Roman"/>
          <w:color w:val="2E2E2E"/>
          <w:sz w:val="24"/>
          <w:szCs w:val="24"/>
          <w:shd w:val="clear" w:color="auto" w:fill="FFFFFF"/>
        </w:rPr>
      </w:pPr>
      <w:r w:rsidRPr="00C55ECD">
        <w:rPr>
          <w:rFonts w:ascii="Times New Roman" w:eastAsia="Times New Roman" w:hAnsi="Times New Roman" w:cs="Times New Roman"/>
          <w:color w:val="2E2E2E"/>
          <w:sz w:val="24"/>
          <w:szCs w:val="24"/>
          <w:shd w:val="clear" w:color="auto" w:fill="FFFFFF"/>
        </w:rPr>
        <w:t>Debriefing is essential when it comes to traumatic health management, and it should be competent, compassionate, and humane care for the affected individual. The main aim should be to ensure that it prevents the patient from incurring adverse health outcomes and from increasing the health of the patients and the community at large</w:t>
      </w:r>
      <w:r w:rsidR="00AB6F1A" w:rsidRPr="00C55ECD">
        <w:rPr>
          <w:rFonts w:ascii="Times New Roman" w:eastAsia="Times New Roman" w:hAnsi="Times New Roman" w:cs="Times New Roman"/>
          <w:color w:val="2E2E2E"/>
          <w:sz w:val="24"/>
          <w:szCs w:val="24"/>
          <w:shd w:val="clear" w:color="auto" w:fill="FFFFFF"/>
        </w:rPr>
        <w:t xml:space="preserve"> (</w:t>
      </w:r>
      <w:proofErr w:type="spellStart"/>
      <w:r w:rsidR="00AB6F1A" w:rsidRPr="00C55ECD">
        <w:rPr>
          <w:rFonts w:ascii="Times New Roman" w:eastAsia="Times New Roman" w:hAnsi="Times New Roman" w:cs="Times New Roman"/>
          <w:color w:val="2E2E2E"/>
          <w:sz w:val="24"/>
          <w:szCs w:val="24"/>
          <w:shd w:val="clear" w:color="auto" w:fill="FFFFFF"/>
        </w:rPr>
        <w:t>Greiff</w:t>
      </w:r>
      <w:proofErr w:type="spellEnd"/>
      <w:r w:rsidR="00AB6F1A" w:rsidRPr="00C55ECD">
        <w:rPr>
          <w:rFonts w:ascii="Times New Roman" w:eastAsia="Times New Roman" w:hAnsi="Times New Roman" w:cs="Times New Roman"/>
          <w:color w:val="2E2E2E"/>
          <w:sz w:val="24"/>
          <w:szCs w:val="24"/>
          <w:shd w:val="clear" w:color="auto" w:fill="FFFFFF"/>
        </w:rPr>
        <w:t xml:space="preserve"> et al 2015)</w:t>
      </w:r>
      <w:r w:rsidRPr="00C55ECD">
        <w:rPr>
          <w:rFonts w:ascii="Times New Roman" w:eastAsia="Times New Roman" w:hAnsi="Times New Roman" w:cs="Times New Roman"/>
          <w:color w:val="2E2E2E"/>
          <w:sz w:val="24"/>
          <w:szCs w:val="24"/>
          <w:shd w:val="clear" w:color="auto" w:fill="FFFFFF"/>
        </w:rPr>
        <w:t xml:space="preserve">. In particular, it is essential to apply endeavors that are appropriate in the prevention of any continuous developments and preventing problems like PTSD, alcohol abuse, depression, and difficulties in a relationship. Debriefings are models of intervention that are mostly used after a traumatic disaster of other traumatic events. The paper will focus on two models of debriefing, which include critical incident stress debriefing (CISD) and psychological stress debriefing. </w:t>
      </w:r>
    </w:p>
    <w:p w:rsidR="008F7C1D" w:rsidRPr="00C55ECD" w:rsidRDefault="002066C9" w:rsidP="00ED064F">
      <w:pPr>
        <w:spacing w:after="0" w:line="480" w:lineRule="auto"/>
        <w:ind w:firstLine="720"/>
        <w:jc w:val="both"/>
        <w:rPr>
          <w:rFonts w:ascii="Times New Roman" w:eastAsia="Times New Roman" w:hAnsi="Times New Roman" w:cs="Times New Roman"/>
          <w:color w:val="2E2E2E"/>
          <w:sz w:val="24"/>
          <w:szCs w:val="24"/>
          <w:shd w:val="clear" w:color="auto" w:fill="FFFFFF"/>
        </w:rPr>
      </w:pPr>
      <w:r w:rsidRPr="00C55ECD">
        <w:rPr>
          <w:rFonts w:ascii="Times New Roman" w:eastAsia="Times New Roman" w:hAnsi="Times New Roman" w:cs="Times New Roman"/>
          <w:color w:val="2E2E2E"/>
          <w:sz w:val="24"/>
          <w:szCs w:val="24"/>
          <w:shd w:val="clear" w:color="auto" w:fill="FFFFFF"/>
        </w:rPr>
        <w:t>Critical incident stress debriefing CISD is a debriefing model that is formalized in a structured manner where a group of response and rescue teams will review the stress that has been experienced in the disaster. CISD has been specially made to help the first responders, which include police or fire personnel. It was not made for the survivors when it comes to the disaster or their relatives. CISD was not also made to work as a substitute for therapy. It was specifically created to get delivered in a team format and to get incorporated into a multicomponent or extensive crisis intervention system known as the CISM, which is the critical incident stress management</w:t>
      </w:r>
      <w:r w:rsidR="00AB6F1A" w:rsidRPr="00C55ECD">
        <w:rPr>
          <w:rFonts w:ascii="Times New Roman" w:eastAsia="Times New Roman" w:hAnsi="Times New Roman" w:cs="Times New Roman"/>
          <w:color w:val="2E2E2E"/>
          <w:sz w:val="24"/>
          <w:szCs w:val="24"/>
          <w:shd w:val="clear" w:color="auto" w:fill="FFFFFF"/>
        </w:rPr>
        <w:t xml:space="preserve"> (</w:t>
      </w:r>
      <w:proofErr w:type="spellStart"/>
      <w:r w:rsidR="0097464D" w:rsidRPr="00C55ECD">
        <w:rPr>
          <w:rFonts w:ascii="Times New Roman" w:eastAsia="Times New Roman" w:hAnsi="Times New Roman" w:cs="Times New Roman"/>
          <w:color w:val="2E2E2E"/>
          <w:sz w:val="24"/>
          <w:szCs w:val="24"/>
          <w:shd w:val="clear" w:color="auto" w:fill="FFFFFF"/>
        </w:rPr>
        <w:t>Eppich</w:t>
      </w:r>
      <w:proofErr w:type="spellEnd"/>
      <w:r w:rsidR="0097464D" w:rsidRPr="00C55ECD">
        <w:rPr>
          <w:rFonts w:ascii="Times New Roman" w:eastAsia="Times New Roman" w:hAnsi="Times New Roman" w:cs="Times New Roman"/>
          <w:color w:val="2E2E2E"/>
          <w:sz w:val="24"/>
          <w:szCs w:val="24"/>
          <w:shd w:val="clear" w:color="auto" w:fill="FFFFFF"/>
        </w:rPr>
        <w:t xml:space="preserve"> et al 2015)</w:t>
      </w:r>
      <w:r w:rsidRPr="00C55ECD">
        <w:rPr>
          <w:rFonts w:ascii="Times New Roman" w:eastAsia="Times New Roman" w:hAnsi="Times New Roman" w:cs="Times New Roman"/>
          <w:color w:val="2E2E2E"/>
          <w:sz w:val="24"/>
          <w:szCs w:val="24"/>
          <w:shd w:val="clear" w:color="auto" w:fill="FFFFFF"/>
        </w:rPr>
        <w:t>. The CISM incorporates several components that include: disaster and large-scale demobilization, pre-crisis intervention, and briefing of information in the form of follow-up and the referral mechanism meant for treatment and assessment, family crisis intervention, one on one counseling and support, staff advisement, defusing and CISD if necessary</w:t>
      </w:r>
      <w:r w:rsidRPr="00C55ECD">
        <w:rPr>
          <w:rFonts w:ascii="Times New Roman" w:eastAsia="Times New Roman" w:hAnsi="Times New Roman" w:cs="Times New Roman"/>
          <w:color w:val="2E2E2E"/>
          <w:sz w:val="24"/>
          <w:szCs w:val="24"/>
        </w:rPr>
        <w:t>.</w:t>
      </w:r>
    </w:p>
    <w:p w:rsidR="008F7C1D" w:rsidRPr="00C55ECD" w:rsidRDefault="002066C9" w:rsidP="00ED064F">
      <w:pPr>
        <w:spacing w:after="0" w:line="480" w:lineRule="auto"/>
        <w:ind w:firstLine="720"/>
        <w:rPr>
          <w:rFonts w:ascii="Times New Roman" w:hAnsi="Times New Roman" w:cs="Times New Roman"/>
          <w:sz w:val="24"/>
          <w:szCs w:val="24"/>
        </w:rPr>
      </w:pPr>
      <w:r w:rsidRPr="00C55ECD">
        <w:rPr>
          <w:rFonts w:ascii="Times New Roman" w:hAnsi="Times New Roman" w:cs="Times New Roman"/>
          <w:sz w:val="24"/>
          <w:szCs w:val="24"/>
        </w:rPr>
        <w:lastRenderedPageBreak/>
        <w:t xml:space="preserve">On the other hand, psychological stress debriefing is the various practices whereby it has less supportive empirical evidence. It has been mainly suggested that psychological debriefing is not in any way appropriate when it comes to mental health and traumatic intervention. This shows that psychological debriefing and critical incident stress debriefing are two different models. </w:t>
      </w:r>
    </w:p>
    <w:p w:rsidR="008F7C1D" w:rsidRPr="00C55ECD" w:rsidRDefault="002066C9" w:rsidP="00ED064F">
      <w:pPr>
        <w:spacing w:after="0" w:line="480" w:lineRule="auto"/>
        <w:ind w:firstLine="720"/>
        <w:jc w:val="both"/>
        <w:rPr>
          <w:rFonts w:ascii="Times New Roman" w:hAnsi="Times New Roman" w:cs="Times New Roman"/>
          <w:sz w:val="24"/>
          <w:szCs w:val="24"/>
        </w:rPr>
      </w:pPr>
      <w:r w:rsidRPr="00C55ECD">
        <w:rPr>
          <w:rFonts w:ascii="Times New Roman" w:hAnsi="Times New Roman" w:cs="Times New Roman"/>
          <w:sz w:val="24"/>
          <w:szCs w:val="24"/>
        </w:rPr>
        <w:t xml:space="preserve">At the moment, most of the mental and traumatic health workers tend to consider stress debriefing, which is caused by the standard of care according to human-caused (workplace violence and terror attacks) and natural </w:t>
      </w:r>
      <w:r w:rsidR="00ED064F" w:rsidRPr="00C55ECD">
        <w:rPr>
          <w:rFonts w:ascii="Times New Roman" w:hAnsi="Times New Roman" w:cs="Times New Roman"/>
          <w:sz w:val="24"/>
          <w:szCs w:val="24"/>
        </w:rPr>
        <w:t>(earthquakes</w:t>
      </w:r>
      <w:r w:rsidRPr="00C55ECD">
        <w:rPr>
          <w:rFonts w:ascii="Times New Roman" w:hAnsi="Times New Roman" w:cs="Times New Roman"/>
          <w:sz w:val="24"/>
          <w:szCs w:val="24"/>
        </w:rPr>
        <w:t>) stressing events. As per the National Center for PTSD's guidebook for disaster mental health, which is being revised at the moment, it shows relevant details on how one can conduct the debriefing. This type of problem can be solved by psychological stress debriefing and critical incident stress debriefing because of they both function in a similar way when reducing stress. However, research done by (</w:t>
      </w:r>
      <w:r w:rsidR="000F0079" w:rsidRPr="00C55ECD">
        <w:rPr>
          <w:rFonts w:ascii="Times New Roman" w:hAnsi="Times New Roman" w:cs="Times New Roman"/>
          <w:sz w:val="24"/>
          <w:szCs w:val="24"/>
        </w:rPr>
        <w:t>Krogh et al 2016</w:t>
      </w:r>
      <w:r w:rsidRPr="00C55ECD">
        <w:rPr>
          <w:rFonts w:ascii="Times New Roman" w:hAnsi="Times New Roman" w:cs="Times New Roman"/>
          <w:sz w:val="24"/>
          <w:szCs w:val="24"/>
        </w:rPr>
        <w:t>) shows that psychological debriefing is not mainly used as the best traumatic and mental health intervention. Evidence gives clear explanations that, in most cases, it can increase traumatic stress, and if not solved, it can complicate the recovery process. Psychological debriefing is also considered inappropriate when it comes to cases that involve acutely bereaved persons</w:t>
      </w:r>
      <w:r w:rsidR="0097464D" w:rsidRPr="00C55ECD">
        <w:rPr>
          <w:rFonts w:ascii="Times New Roman" w:hAnsi="Times New Roman" w:cs="Times New Roman"/>
          <w:sz w:val="24"/>
          <w:szCs w:val="24"/>
        </w:rPr>
        <w:t xml:space="preserve"> (Kolbe et al 2015)</w:t>
      </w:r>
      <w:r w:rsidRPr="00C55ECD">
        <w:rPr>
          <w:rFonts w:ascii="Times New Roman" w:hAnsi="Times New Roman" w:cs="Times New Roman"/>
          <w:sz w:val="24"/>
          <w:szCs w:val="24"/>
        </w:rPr>
        <w:t>. While on the other hand, critical incident stress debriefing is mostly helpful because it consists of the clarification of events and giving significant education on normal response and the mechanisms for coping with the disaster. This shows that care should be carried out before delivering any emotional intervention.</w:t>
      </w:r>
    </w:p>
    <w:p w:rsidR="008F7C1D" w:rsidRPr="00C55ECD" w:rsidRDefault="002066C9" w:rsidP="00ED064F">
      <w:pPr>
        <w:spacing w:after="0" w:line="480" w:lineRule="auto"/>
        <w:ind w:firstLine="720"/>
        <w:jc w:val="both"/>
        <w:rPr>
          <w:rFonts w:ascii="Times New Roman" w:hAnsi="Times New Roman" w:cs="Times New Roman"/>
          <w:sz w:val="24"/>
          <w:szCs w:val="24"/>
        </w:rPr>
      </w:pPr>
      <w:r w:rsidRPr="00C55ECD">
        <w:rPr>
          <w:rFonts w:ascii="Times New Roman" w:hAnsi="Times New Roman" w:cs="Times New Roman"/>
          <w:sz w:val="24"/>
          <w:szCs w:val="24"/>
        </w:rPr>
        <w:t>In conclusion, as debriefing is being employed at the moment, it is useful for stress events like low magnitude stress exposure and its symptoms or care providers in the emergency unit</w:t>
      </w:r>
      <w:r w:rsidR="000F0079" w:rsidRPr="00C55ECD">
        <w:rPr>
          <w:rFonts w:ascii="Times New Roman" w:hAnsi="Times New Roman" w:cs="Times New Roman"/>
          <w:sz w:val="24"/>
          <w:szCs w:val="24"/>
        </w:rPr>
        <w:t xml:space="preserve"> (Krogh et al 2016)</w:t>
      </w:r>
      <w:r w:rsidRPr="00C55ECD">
        <w:rPr>
          <w:rFonts w:ascii="Times New Roman" w:hAnsi="Times New Roman" w:cs="Times New Roman"/>
          <w:sz w:val="24"/>
          <w:szCs w:val="24"/>
        </w:rPr>
        <w:t xml:space="preserve">. However, an element I will add in the debriefing models is to ensure individuals </w:t>
      </w:r>
      <w:r w:rsidRPr="00C55ECD">
        <w:rPr>
          <w:rFonts w:ascii="Times New Roman" w:hAnsi="Times New Roman" w:cs="Times New Roman"/>
          <w:sz w:val="24"/>
          <w:szCs w:val="24"/>
        </w:rPr>
        <w:lastRenderedPageBreak/>
        <w:t xml:space="preserve">with high traumatic exposure and those experiencing </w:t>
      </w:r>
      <w:r w:rsidR="00ED064F" w:rsidRPr="00C55ECD">
        <w:rPr>
          <w:rFonts w:ascii="Times New Roman" w:hAnsi="Times New Roman" w:cs="Times New Roman"/>
          <w:sz w:val="24"/>
          <w:szCs w:val="24"/>
        </w:rPr>
        <w:t>higher</w:t>
      </w:r>
      <w:r w:rsidRPr="00C55ECD">
        <w:rPr>
          <w:rFonts w:ascii="Times New Roman" w:hAnsi="Times New Roman" w:cs="Times New Roman"/>
          <w:sz w:val="24"/>
          <w:szCs w:val="24"/>
        </w:rPr>
        <w:t xml:space="preserve"> reactions such as PTSD should not undergo the debriefing process because it can be harmful or even ineffective.</w:t>
      </w:r>
    </w:p>
    <w:p w:rsidR="00ED064F" w:rsidRDefault="00ED064F">
      <w:pPr>
        <w:rPr>
          <w:rFonts w:ascii="Times New Roman" w:hAnsi="Times New Roman" w:cs="Times New Roman"/>
          <w:sz w:val="24"/>
          <w:szCs w:val="24"/>
        </w:rPr>
      </w:pPr>
      <w:r>
        <w:rPr>
          <w:rFonts w:ascii="Times New Roman" w:hAnsi="Times New Roman" w:cs="Times New Roman"/>
          <w:sz w:val="24"/>
          <w:szCs w:val="24"/>
        </w:rPr>
        <w:br w:type="page"/>
      </w:r>
    </w:p>
    <w:p w:rsidR="008F7C1D" w:rsidRPr="00C55ECD" w:rsidRDefault="003031A2" w:rsidP="00ED064F">
      <w:pPr>
        <w:spacing w:after="0" w:line="480" w:lineRule="auto"/>
        <w:ind w:firstLine="720"/>
        <w:jc w:val="center"/>
        <w:rPr>
          <w:rFonts w:ascii="Times New Roman" w:hAnsi="Times New Roman" w:cs="Times New Roman"/>
          <w:sz w:val="24"/>
          <w:szCs w:val="24"/>
        </w:rPr>
      </w:pPr>
      <w:r w:rsidRPr="00C55ECD">
        <w:rPr>
          <w:rFonts w:ascii="Times New Roman" w:hAnsi="Times New Roman" w:cs="Times New Roman"/>
          <w:sz w:val="24"/>
          <w:szCs w:val="24"/>
        </w:rPr>
        <w:lastRenderedPageBreak/>
        <w:t>Reference</w:t>
      </w:r>
    </w:p>
    <w:p w:rsidR="003031A2" w:rsidRPr="00C55ECD" w:rsidRDefault="003031A2" w:rsidP="00ED064F">
      <w:pPr>
        <w:spacing w:after="0" w:line="480" w:lineRule="auto"/>
        <w:ind w:left="720" w:hanging="720"/>
        <w:rPr>
          <w:rFonts w:ascii="Times New Roman" w:eastAsia="Times New Roman" w:hAnsi="Times New Roman" w:cs="Times New Roman"/>
          <w:color w:val="222222"/>
          <w:sz w:val="24"/>
          <w:szCs w:val="24"/>
          <w:shd w:val="clear" w:color="auto" w:fill="FFFFFF"/>
        </w:rPr>
      </w:pPr>
      <w:proofErr w:type="spellStart"/>
      <w:r w:rsidRPr="00C55ECD">
        <w:rPr>
          <w:rFonts w:ascii="Times New Roman" w:eastAsia="Times New Roman" w:hAnsi="Times New Roman" w:cs="Times New Roman"/>
          <w:color w:val="222222"/>
          <w:sz w:val="24"/>
          <w:szCs w:val="24"/>
          <w:shd w:val="clear" w:color="auto" w:fill="FFFFFF"/>
        </w:rPr>
        <w:t>Eppich</w:t>
      </w:r>
      <w:proofErr w:type="spellEnd"/>
      <w:r w:rsidRPr="00C55ECD">
        <w:rPr>
          <w:rFonts w:ascii="Times New Roman" w:eastAsia="Times New Roman" w:hAnsi="Times New Roman" w:cs="Times New Roman"/>
          <w:color w:val="222222"/>
          <w:sz w:val="24"/>
          <w:szCs w:val="24"/>
          <w:shd w:val="clear" w:color="auto" w:fill="FFFFFF"/>
        </w:rPr>
        <w:t>, W. J., Hunt, E. A., Duval-</w:t>
      </w:r>
      <w:proofErr w:type="spellStart"/>
      <w:r w:rsidRPr="00C55ECD">
        <w:rPr>
          <w:rFonts w:ascii="Times New Roman" w:eastAsia="Times New Roman" w:hAnsi="Times New Roman" w:cs="Times New Roman"/>
          <w:color w:val="222222"/>
          <w:sz w:val="24"/>
          <w:szCs w:val="24"/>
          <w:shd w:val="clear" w:color="auto" w:fill="FFFFFF"/>
        </w:rPr>
        <w:t>Arnould</w:t>
      </w:r>
      <w:proofErr w:type="spellEnd"/>
      <w:r w:rsidRPr="00C55ECD">
        <w:rPr>
          <w:rFonts w:ascii="Times New Roman" w:eastAsia="Times New Roman" w:hAnsi="Times New Roman" w:cs="Times New Roman"/>
          <w:color w:val="222222"/>
          <w:sz w:val="24"/>
          <w:szCs w:val="24"/>
          <w:shd w:val="clear" w:color="auto" w:fill="FFFFFF"/>
        </w:rPr>
        <w:t>, J. M., Siddall, V. J., &amp; Cheng, A. (2015). Structuring feedback and debriefing to achieve mastery learning goals. </w:t>
      </w:r>
      <w:r w:rsidRPr="00C55ECD">
        <w:rPr>
          <w:rFonts w:ascii="Times New Roman" w:eastAsia="Times New Roman" w:hAnsi="Times New Roman" w:cs="Times New Roman"/>
          <w:i/>
          <w:iCs/>
          <w:color w:val="222222"/>
          <w:sz w:val="24"/>
          <w:szCs w:val="24"/>
          <w:shd w:val="clear" w:color="auto" w:fill="FFFFFF"/>
        </w:rPr>
        <w:t>Academic Medicine</w:t>
      </w:r>
      <w:r w:rsidRPr="00C55ECD">
        <w:rPr>
          <w:rFonts w:ascii="Times New Roman" w:eastAsia="Times New Roman" w:hAnsi="Times New Roman" w:cs="Times New Roman"/>
          <w:color w:val="222222"/>
          <w:sz w:val="24"/>
          <w:szCs w:val="24"/>
          <w:shd w:val="clear" w:color="auto" w:fill="FFFFFF"/>
        </w:rPr>
        <w:t>, </w:t>
      </w:r>
      <w:r w:rsidRPr="00C55ECD">
        <w:rPr>
          <w:rFonts w:ascii="Times New Roman" w:eastAsia="Times New Roman" w:hAnsi="Times New Roman" w:cs="Times New Roman"/>
          <w:i/>
          <w:iCs/>
          <w:color w:val="222222"/>
          <w:sz w:val="24"/>
          <w:szCs w:val="24"/>
          <w:shd w:val="clear" w:color="auto" w:fill="FFFFFF"/>
        </w:rPr>
        <w:t>90</w:t>
      </w:r>
      <w:r w:rsidRPr="00C55ECD">
        <w:rPr>
          <w:rFonts w:ascii="Times New Roman" w:eastAsia="Times New Roman" w:hAnsi="Times New Roman" w:cs="Times New Roman"/>
          <w:color w:val="222222"/>
          <w:sz w:val="24"/>
          <w:szCs w:val="24"/>
          <w:shd w:val="clear" w:color="auto" w:fill="FFFFFF"/>
        </w:rPr>
        <w:t>(11), 1501-1508.</w:t>
      </w:r>
    </w:p>
    <w:p w:rsidR="003031A2" w:rsidRPr="00C55ECD" w:rsidRDefault="00F74BDF" w:rsidP="00ED064F">
      <w:pPr>
        <w:spacing w:after="0" w:line="480" w:lineRule="auto"/>
        <w:ind w:left="720" w:hanging="720"/>
        <w:rPr>
          <w:rFonts w:ascii="Times New Roman" w:eastAsia="Times New Roman" w:hAnsi="Times New Roman" w:cs="Times New Roman"/>
          <w:color w:val="222222"/>
          <w:sz w:val="24"/>
          <w:szCs w:val="24"/>
          <w:shd w:val="clear" w:color="auto" w:fill="FFFFFF"/>
        </w:rPr>
      </w:pPr>
      <w:r w:rsidRPr="00C55ECD">
        <w:rPr>
          <w:rFonts w:ascii="Times New Roman" w:eastAsia="Times New Roman" w:hAnsi="Times New Roman" w:cs="Times New Roman"/>
          <w:color w:val="222222"/>
          <w:sz w:val="24"/>
          <w:szCs w:val="24"/>
          <w:shd w:val="clear" w:color="auto" w:fill="FFFFFF"/>
        </w:rPr>
        <w:t xml:space="preserve">Kolbe, M., Grande, B., &amp; </w:t>
      </w:r>
      <w:proofErr w:type="spellStart"/>
      <w:r w:rsidRPr="00C55ECD">
        <w:rPr>
          <w:rFonts w:ascii="Times New Roman" w:eastAsia="Times New Roman" w:hAnsi="Times New Roman" w:cs="Times New Roman"/>
          <w:color w:val="222222"/>
          <w:sz w:val="24"/>
          <w:szCs w:val="24"/>
          <w:shd w:val="clear" w:color="auto" w:fill="FFFFFF"/>
        </w:rPr>
        <w:t>Spahn</w:t>
      </w:r>
      <w:proofErr w:type="spellEnd"/>
      <w:r w:rsidRPr="00C55ECD">
        <w:rPr>
          <w:rFonts w:ascii="Times New Roman" w:eastAsia="Times New Roman" w:hAnsi="Times New Roman" w:cs="Times New Roman"/>
          <w:color w:val="222222"/>
          <w:sz w:val="24"/>
          <w:szCs w:val="24"/>
          <w:shd w:val="clear" w:color="auto" w:fill="FFFFFF"/>
        </w:rPr>
        <w:t>, D. R. (2015). Briefing and debriefing during simulation-based training and beyond: Content, structure, attitude and setting. </w:t>
      </w:r>
      <w:r w:rsidRPr="00C55ECD">
        <w:rPr>
          <w:rFonts w:ascii="Times New Roman" w:eastAsia="Times New Roman" w:hAnsi="Times New Roman" w:cs="Times New Roman"/>
          <w:i/>
          <w:iCs/>
          <w:color w:val="222222"/>
          <w:sz w:val="24"/>
          <w:szCs w:val="24"/>
          <w:shd w:val="clear" w:color="auto" w:fill="FFFFFF"/>
        </w:rPr>
        <w:t xml:space="preserve">Best Practice &amp; Research Clinical </w:t>
      </w:r>
      <w:proofErr w:type="spellStart"/>
      <w:r w:rsidRPr="00C55ECD">
        <w:rPr>
          <w:rFonts w:ascii="Times New Roman" w:eastAsia="Times New Roman" w:hAnsi="Times New Roman" w:cs="Times New Roman"/>
          <w:i/>
          <w:iCs/>
          <w:color w:val="222222"/>
          <w:sz w:val="24"/>
          <w:szCs w:val="24"/>
          <w:shd w:val="clear" w:color="auto" w:fill="FFFFFF"/>
        </w:rPr>
        <w:t>Anaesthesiology</w:t>
      </w:r>
      <w:proofErr w:type="spellEnd"/>
      <w:r w:rsidRPr="00C55ECD">
        <w:rPr>
          <w:rFonts w:ascii="Times New Roman" w:eastAsia="Times New Roman" w:hAnsi="Times New Roman" w:cs="Times New Roman"/>
          <w:color w:val="222222"/>
          <w:sz w:val="24"/>
          <w:szCs w:val="24"/>
          <w:shd w:val="clear" w:color="auto" w:fill="FFFFFF"/>
        </w:rPr>
        <w:t>, </w:t>
      </w:r>
      <w:r w:rsidRPr="00C55ECD">
        <w:rPr>
          <w:rFonts w:ascii="Times New Roman" w:eastAsia="Times New Roman" w:hAnsi="Times New Roman" w:cs="Times New Roman"/>
          <w:i/>
          <w:iCs/>
          <w:color w:val="222222"/>
          <w:sz w:val="24"/>
          <w:szCs w:val="24"/>
          <w:shd w:val="clear" w:color="auto" w:fill="FFFFFF"/>
        </w:rPr>
        <w:t>29</w:t>
      </w:r>
      <w:r w:rsidRPr="00C55ECD">
        <w:rPr>
          <w:rFonts w:ascii="Times New Roman" w:eastAsia="Times New Roman" w:hAnsi="Times New Roman" w:cs="Times New Roman"/>
          <w:color w:val="222222"/>
          <w:sz w:val="24"/>
          <w:szCs w:val="24"/>
          <w:shd w:val="clear" w:color="auto" w:fill="FFFFFF"/>
        </w:rPr>
        <w:t>(1), 87-96.</w:t>
      </w:r>
    </w:p>
    <w:p w:rsidR="00AA0982" w:rsidRPr="00C55ECD" w:rsidRDefault="00766DCF" w:rsidP="00ED064F">
      <w:pPr>
        <w:spacing w:after="0" w:line="480" w:lineRule="auto"/>
        <w:ind w:left="720" w:hanging="720"/>
        <w:rPr>
          <w:rFonts w:ascii="Times New Roman" w:eastAsia="Times New Roman" w:hAnsi="Times New Roman" w:cs="Times New Roman"/>
          <w:color w:val="222222"/>
          <w:sz w:val="24"/>
          <w:szCs w:val="24"/>
          <w:shd w:val="clear" w:color="auto" w:fill="FFFFFF"/>
        </w:rPr>
      </w:pPr>
      <w:proofErr w:type="spellStart"/>
      <w:r w:rsidRPr="00C55ECD">
        <w:rPr>
          <w:rFonts w:ascii="Times New Roman" w:eastAsia="Times New Roman" w:hAnsi="Times New Roman" w:cs="Times New Roman"/>
          <w:color w:val="222222"/>
          <w:sz w:val="24"/>
          <w:szCs w:val="24"/>
          <w:shd w:val="clear" w:color="auto" w:fill="FFFFFF"/>
        </w:rPr>
        <w:t>Greiff</w:t>
      </w:r>
      <w:proofErr w:type="spellEnd"/>
      <w:r w:rsidRPr="00C55ECD">
        <w:rPr>
          <w:rFonts w:ascii="Times New Roman" w:eastAsia="Times New Roman" w:hAnsi="Times New Roman" w:cs="Times New Roman"/>
          <w:color w:val="222222"/>
          <w:sz w:val="24"/>
          <w:szCs w:val="24"/>
          <w:shd w:val="clear" w:color="auto" w:fill="FFFFFF"/>
        </w:rPr>
        <w:t xml:space="preserve">, J. L., </w:t>
      </w:r>
      <w:proofErr w:type="spellStart"/>
      <w:r w:rsidRPr="00C55ECD">
        <w:rPr>
          <w:rFonts w:ascii="Times New Roman" w:eastAsia="Times New Roman" w:hAnsi="Times New Roman" w:cs="Times New Roman"/>
          <w:color w:val="222222"/>
          <w:sz w:val="24"/>
          <w:szCs w:val="24"/>
          <w:shd w:val="clear" w:color="auto" w:fill="FFFFFF"/>
        </w:rPr>
        <w:t>Graville</w:t>
      </w:r>
      <w:proofErr w:type="spellEnd"/>
      <w:r w:rsidRPr="00C55ECD">
        <w:rPr>
          <w:rFonts w:ascii="Times New Roman" w:eastAsia="Times New Roman" w:hAnsi="Times New Roman" w:cs="Times New Roman"/>
          <w:color w:val="222222"/>
          <w:sz w:val="24"/>
          <w:szCs w:val="24"/>
          <w:shd w:val="clear" w:color="auto" w:fill="FFFFFF"/>
        </w:rPr>
        <w:t xml:space="preserve"> Bricker, M., </w:t>
      </w:r>
      <w:proofErr w:type="spellStart"/>
      <w:r w:rsidRPr="00C55ECD">
        <w:rPr>
          <w:rFonts w:ascii="Times New Roman" w:eastAsia="Times New Roman" w:hAnsi="Times New Roman" w:cs="Times New Roman"/>
          <w:color w:val="222222"/>
          <w:sz w:val="24"/>
          <w:szCs w:val="24"/>
          <w:shd w:val="clear" w:color="auto" w:fill="FFFFFF"/>
        </w:rPr>
        <w:t>Gamaghelyan</w:t>
      </w:r>
      <w:proofErr w:type="spellEnd"/>
      <w:r w:rsidRPr="00C55ECD">
        <w:rPr>
          <w:rFonts w:ascii="Times New Roman" w:eastAsia="Times New Roman" w:hAnsi="Times New Roman" w:cs="Times New Roman"/>
          <w:color w:val="222222"/>
          <w:sz w:val="24"/>
          <w:szCs w:val="24"/>
          <w:shd w:val="clear" w:color="auto" w:fill="FFFFFF"/>
        </w:rPr>
        <w:t xml:space="preserve">, P., </w:t>
      </w:r>
      <w:proofErr w:type="spellStart"/>
      <w:r w:rsidRPr="00C55ECD">
        <w:rPr>
          <w:rFonts w:ascii="Times New Roman" w:eastAsia="Times New Roman" w:hAnsi="Times New Roman" w:cs="Times New Roman"/>
          <w:color w:val="222222"/>
          <w:sz w:val="24"/>
          <w:szCs w:val="24"/>
          <w:shd w:val="clear" w:color="auto" w:fill="FFFFFF"/>
        </w:rPr>
        <w:t>Tadevosyan</w:t>
      </w:r>
      <w:proofErr w:type="spellEnd"/>
      <w:r w:rsidRPr="00C55ECD">
        <w:rPr>
          <w:rFonts w:ascii="Times New Roman" w:eastAsia="Times New Roman" w:hAnsi="Times New Roman" w:cs="Times New Roman"/>
          <w:color w:val="222222"/>
          <w:sz w:val="24"/>
          <w:szCs w:val="24"/>
          <w:shd w:val="clear" w:color="auto" w:fill="FFFFFF"/>
        </w:rPr>
        <w:t>, M., &amp; Deng, S. (2015). Debriefing in peacemaking and conflict resolution practice: Models of emergent learning and practitioner support. </w:t>
      </w:r>
      <w:r w:rsidRPr="00C55ECD">
        <w:rPr>
          <w:rFonts w:ascii="Times New Roman" w:eastAsia="Times New Roman" w:hAnsi="Times New Roman" w:cs="Times New Roman"/>
          <w:i/>
          <w:iCs/>
          <w:color w:val="222222"/>
          <w:sz w:val="24"/>
          <w:szCs w:val="24"/>
          <w:shd w:val="clear" w:color="auto" w:fill="FFFFFF"/>
        </w:rPr>
        <w:t>Reflective Practice</w:t>
      </w:r>
      <w:r w:rsidRPr="00C55ECD">
        <w:rPr>
          <w:rFonts w:ascii="Times New Roman" w:eastAsia="Times New Roman" w:hAnsi="Times New Roman" w:cs="Times New Roman"/>
          <w:color w:val="222222"/>
          <w:sz w:val="24"/>
          <w:szCs w:val="24"/>
          <w:shd w:val="clear" w:color="auto" w:fill="FFFFFF"/>
        </w:rPr>
        <w:t>, </w:t>
      </w:r>
      <w:r w:rsidRPr="00C55ECD">
        <w:rPr>
          <w:rFonts w:ascii="Times New Roman" w:eastAsia="Times New Roman" w:hAnsi="Times New Roman" w:cs="Times New Roman"/>
          <w:i/>
          <w:iCs/>
          <w:color w:val="222222"/>
          <w:sz w:val="24"/>
          <w:szCs w:val="24"/>
          <w:shd w:val="clear" w:color="auto" w:fill="FFFFFF"/>
        </w:rPr>
        <w:t>16</w:t>
      </w:r>
      <w:r w:rsidRPr="00C55ECD">
        <w:rPr>
          <w:rFonts w:ascii="Times New Roman" w:eastAsia="Times New Roman" w:hAnsi="Times New Roman" w:cs="Times New Roman"/>
          <w:color w:val="222222"/>
          <w:sz w:val="24"/>
          <w:szCs w:val="24"/>
          <w:shd w:val="clear" w:color="auto" w:fill="FFFFFF"/>
        </w:rPr>
        <w:t>(2), 254-268.</w:t>
      </w:r>
    </w:p>
    <w:p w:rsidR="00766DCF" w:rsidRPr="00C55ECD" w:rsidRDefault="00707D3F" w:rsidP="00ED064F">
      <w:pPr>
        <w:spacing w:after="0" w:line="480" w:lineRule="auto"/>
        <w:ind w:left="720" w:hanging="720"/>
        <w:rPr>
          <w:rFonts w:ascii="Times New Roman" w:hAnsi="Times New Roman" w:cs="Times New Roman"/>
          <w:sz w:val="24"/>
          <w:szCs w:val="24"/>
        </w:rPr>
      </w:pPr>
      <w:r w:rsidRPr="00C55ECD">
        <w:rPr>
          <w:rFonts w:ascii="Times New Roman" w:eastAsia="Times New Roman" w:hAnsi="Times New Roman" w:cs="Times New Roman"/>
          <w:color w:val="222222"/>
          <w:sz w:val="24"/>
          <w:szCs w:val="24"/>
          <w:shd w:val="clear" w:color="auto" w:fill="FFFFFF"/>
        </w:rPr>
        <w:t xml:space="preserve">Krogh, K., </w:t>
      </w:r>
      <w:proofErr w:type="spellStart"/>
      <w:r w:rsidRPr="00C55ECD">
        <w:rPr>
          <w:rFonts w:ascii="Times New Roman" w:eastAsia="Times New Roman" w:hAnsi="Times New Roman" w:cs="Times New Roman"/>
          <w:color w:val="222222"/>
          <w:sz w:val="24"/>
          <w:szCs w:val="24"/>
          <w:shd w:val="clear" w:color="auto" w:fill="FFFFFF"/>
        </w:rPr>
        <w:t>Bearman</w:t>
      </w:r>
      <w:proofErr w:type="spellEnd"/>
      <w:r w:rsidRPr="00C55ECD">
        <w:rPr>
          <w:rFonts w:ascii="Times New Roman" w:eastAsia="Times New Roman" w:hAnsi="Times New Roman" w:cs="Times New Roman"/>
          <w:color w:val="222222"/>
          <w:sz w:val="24"/>
          <w:szCs w:val="24"/>
          <w:shd w:val="clear" w:color="auto" w:fill="FFFFFF"/>
        </w:rPr>
        <w:t xml:space="preserve">, M., &amp; </w:t>
      </w:r>
      <w:proofErr w:type="spellStart"/>
      <w:r w:rsidRPr="00C55ECD">
        <w:rPr>
          <w:rFonts w:ascii="Times New Roman" w:eastAsia="Times New Roman" w:hAnsi="Times New Roman" w:cs="Times New Roman"/>
          <w:color w:val="222222"/>
          <w:sz w:val="24"/>
          <w:szCs w:val="24"/>
          <w:shd w:val="clear" w:color="auto" w:fill="FFFFFF"/>
        </w:rPr>
        <w:t>Nestel</w:t>
      </w:r>
      <w:proofErr w:type="spellEnd"/>
      <w:r w:rsidRPr="00C55ECD">
        <w:rPr>
          <w:rFonts w:ascii="Times New Roman" w:eastAsia="Times New Roman" w:hAnsi="Times New Roman" w:cs="Times New Roman"/>
          <w:color w:val="222222"/>
          <w:sz w:val="24"/>
          <w:szCs w:val="24"/>
          <w:shd w:val="clear" w:color="auto" w:fill="FFFFFF"/>
        </w:rPr>
        <w:t>, D. (2016). “Thinking on your feet”—a qualitative study of debriefing practice. </w:t>
      </w:r>
      <w:r w:rsidRPr="00C55ECD">
        <w:rPr>
          <w:rFonts w:ascii="Times New Roman" w:eastAsia="Times New Roman" w:hAnsi="Times New Roman" w:cs="Times New Roman"/>
          <w:i/>
          <w:iCs/>
          <w:color w:val="222222"/>
          <w:sz w:val="24"/>
          <w:szCs w:val="24"/>
          <w:shd w:val="clear" w:color="auto" w:fill="FFFFFF"/>
        </w:rPr>
        <w:t>Advances in Simulation</w:t>
      </w:r>
      <w:r w:rsidRPr="00C55ECD">
        <w:rPr>
          <w:rFonts w:ascii="Times New Roman" w:eastAsia="Times New Roman" w:hAnsi="Times New Roman" w:cs="Times New Roman"/>
          <w:color w:val="222222"/>
          <w:sz w:val="24"/>
          <w:szCs w:val="24"/>
          <w:shd w:val="clear" w:color="auto" w:fill="FFFFFF"/>
        </w:rPr>
        <w:t>, </w:t>
      </w:r>
      <w:r w:rsidRPr="00C55ECD">
        <w:rPr>
          <w:rFonts w:ascii="Times New Roman" w:eastAsia="Times New Roman" w:hAnsi="Times New Roman" w:cs="Times New Roman"/>
          <w:i/>
          <w:iCs/>
          <w:color w:val="222222"/>
          <w:sz w:val="24"/>
          <w:szCs w:val="24"/>
          <w:shd w:val="clear" w:color="auto" w:fill="FFFFFF"/>
        </w:rPr>
        <w:t>1</w:t>
      </w:r>
      <w:r w:rsidRPr="00C55ECD">
        <w:rPr>
          <w:rFonts w:ascii="Times New Roman" w:eastAsia="Times New Roman" w:hAnsi="Times New Roman" w:cs="Times New Roman"/>
          <w:color w:val="222222"/>
          <w:sz w:val="24"/>
          <w:szCs w:val="24"/>
          <w:shd w:val="clear" w:color="auto" w:fill="FFFFFF"/>
        </w:rPr>
        <w:t>(1), 12.</w:t>
      </w:r>
    </w:p>
    <w:sectPr w:rsidR="00766DCF" w:rsidRPr="00C55ECD" w:rsidSect="00ED064F">
      <w:headerReference w:type="even" r:id="rId7"/>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948E4" w:rsidRDefault="001948E4" w:rsidP="00291D89">
      <w:pPr>
        <w:spacing w:after="0" w:line="240" w:lineRule="auto"/>
      </w:pPr>
      <w:r>
        <w:separator/>
      </w:r>
    </w:p>
  </w:endnote>
  <w:endnote w:type="continuationSeparator" w:id="0">
    <w:p w:rsidR="001948E4" w:rsidRDefault="001948E4" w:rsidP="00291D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948E4" w:rsidRDefault="001948E4" w:rsidP="00291D89">
      <w:pPr>
        <w:spacing w:after="0" w:line="240" w:lineRule="auto"/>
      </w:pPr>
      <w:r>
        <w:separator/>
      </w:r>
    </w:p>
  </w:footnote>
  <w:footnote w:type="continuationSeparator" w:id="0">
    <w:p w:rsidR="001948E4" w:rsidRDefault="001948E4" w:rsidP="00291D8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PageNumber"/>
      </w:rPr>
      <w:id w:val="1448268433"/>
      <w:docPartObj>
        <w:docPartGallery w:val="Page Numbers (Top of Page)"/>
        <w:docPartUnique/>
      </w:docPartObj>
    </w:sdtPr>
    <w:sdtEndPr>
      <w:rPr>
        <w:rStyle w:val="PageNumber"/>
      </w:rPr>
    </w:sdtEndPr>
    <w:sdtContent>
      <w:p w:rsidR="00291D89" w:rsidRDefault="00291D89" w:rsidP="00394281">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rsidR="00291D89" w:rsidRDefault="00291D89" w:rsidP="00291D89">
    <w:pPr>
      <w:pStyle w:val="Header"/>
      <w:ind w:right="360"/>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D064F" w:rsidRPr="00ED064F" w:rsidRDefault="00ED064F" w:rsidP="00ED064F">
    <w:pPr>
      <w:pStyle w:val="Header"/>
      <w:ind w:right="360"/>
      <w:rPr>
        <w:rFonts w:ascii="Times New Roman" w:hAnsi="Times New Roman" w:cs="Times New Roman"/>
        <w:sz w:val="24"/>
        <w:szCs w:val="24"/>
      </w:rPr>
    </w:pPr>
    <w:r w:rsidRPr="00ED064F">
      <w:rPr>
        <w:rFonts w:ascii="Times New Roman" w:hAnsi="Times New Roman" w:cs="Times New Roman"/>
        <w:sz w:val="24"/>
        <w:szCs w:val="24"/>
      </w:rPr>
      <w:t>DEBRIEFING MODELS</w:t>
    </w:r>
    <w:r w:rsidRPr="00ED064F">
      <w:rPr>
        <w:rFonts w:ascii="Times New Roman" w:hAnsi="Times New Roman" w:cs="Times New Roman"/>
        <w:sz w:val="24"/>
        <w:szCs w:val="24"/>
      </w:rPr>
      <w:tab/>
    </w:r>
    <w:r w:rsidRPr="00ED064F">
      <w:rPr>
        <w:rFonts w:ascii="Times New Roman" w:hAnsi="Times New Roman" w:cs="Times New Roman"/>
        <w:sz w:val="24"/>
        <w:szCs w:val="24"/>
      </w:rPr>
      <w:tab/>
    </w:r>
    <w:r w:rsidRPr="00ED064F">
      <w:rPr>
        <w:rFonts w:ascii="Times New Roman" w:hAnsi="Times New Roman" w:cs="Times New Roman"/>
        <w:sz w:val="24"/>
        <w:szCs w:val="24"/>
      </w:rPr>
      <w:fldChar w:fldCharType="begin"/>
    </w:r>
    <w:r w:rsidRPr="00ED064F">
      <w:rPr>
        <w:rFonts w:ascii="Times New Roman" w:hAnsi="Times New Roman" w:cs="Times New Roman"/>
        <w:sz w:val="24"/>
        <w:szCs w:val="24"/>
      </w:rPr>
      <w:instrText xml:space="preserve"> PAGE   \* MERGEFORMAT </w:instrText>
    </w:r>
    <w:r w:rsidRPr="00ED064F">
      <w:rPr>
        <w:rFonts w:ascii="Times New Roman" w:hAnsi="Times New Roman" w:cs="Times New Roman"/>
        <w:sz w:val="24"/>
        <w:szCs w:val="24"/>
      </w:rPr>
      <w:fldChar w:fldCharType="separate"/>
    </w:r>
    <w:r w:rsidR="00090777">
      <w:rPr>
        <w:rFonts w:ascii="Times New Roman" w:hAnsi="Times New Roman" w:cs="Times New Roman"/>
        <w:noProof/>
        <w:sz w:val="24"/>
        <w:szCs w:val="24"/>
      </w:rPr>
      <w:t>5</w:t>
    </w:r>
    <w:r w:rsidRPr="00ED064F">
      <w:rPr>
        <w:rFonts w:ascii="Times New Roman" w:hAnsi="Times New Roman" w:cs="Times New Roman"/>
        <w:noProof/>
        <w:sz w:val="24"/>
        <w:szCs w:val="24"/>
      </w:rPr>
      <w:fldChar w:fldCharType="end"/>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D064F" w:rsidRPr="00ED064F" w:rsidRDefault="00ED064F" w:rsidP="00ED064F">
    <w:pPr>
      <w:pStyle w:val="Header"/>
      <w:ind w:right="360"/>
      <w:rPr>
        <w:rFonts w:ascii="Times New Roman" w:hAnsi="Times New Roman" w:cs="Times New Roman"/>
        <w:sz w:val="24"/>
        <w:szCs w:val="24"/>
      </w:rPr>
    </w:pPr>
    <w:r w:rsidRPr="00ED064F">
      <w:rPr>
        <w:rStyle w:val="PageNumber"/>
        <w:rFonts w:ascii="Times New Roman" w:hAnsi="Times New Roman" w:cs="Times New Roman"/>
        <w:sz w:val="24"/>
        <w:szCs w:val="24"/>
      </w:rPr>
      <w:t xml:space="preserve">Running head: </w:t>
    </w:r>
    <w:r w:rsidRPr="00ED064F">
      <w:rPr>
        <w:rFonts w:ascii="Times New Roman" w:hAnsi="Times New Roman" w:cs="Times New Roman"/>
        <w:sz w:val="24"/>
        <w:szCs w:val="24"/>
      </w:rPr>
      <w:t>DEBRIEFING MODELS</w:t>
    </w:r>
    <w:r w:rsidRPr="00ED064F">
      <w:rPr>
        <w:rFonts w:ascii="Times New Roman" w:hAnsi="Times New Roman" w:cs="Times New Roman"/>
        <w:sz w:val="24"/>
        <w:szCs w:val="24"/>
      </w:rPr>
      <w:tab/>
    </w:r>
    <w:r w:rsidRPr="00ED064F">
      <w:rPr>
        <w:rFonts w:ascii="Times New Roman" w:hAnsi="Times New Roman" w:cs="Times New Roman"/>
        <w:sz w:val="24"/>
        <w:szCs w:val="24"/>
      </w:rPr>
      <w:tab/>
    </w:r>
    <w:r w:rsidRPr="00ED064F">
      <w:rPr>
        <w:rFonts w:ascii="Times New Roman" w:hAnsi="Times New Roman" w:cs="Times New Roman"/>
        <w:sz w:val="24"/>
        <w:szCs w:val="24"/>
      </w:rPr>
      <w:fldChar w:fldCharType="begin"/>
    </w:r>
    <w:r w:rsidRPr="00ED064F">
      <w:rPr>
        <w:rFonts w:ascii="Times New Roman" w:hAnsi="Times New Roman" w:cs="Times New Roman"/>
        <w:sz w:val="24"/>
        <w:szCs w:val="24"/>
      </w:rPr>
      <w:instrText xml:space="preserve"> PAGE   \* MERGEFORMAT </w:instrText>
    </w:r>
    <w:r w:rsidRPr="00ED064F">
      <w:rPr>
        <w:rFonts w:ascii="Times New Roman" w:hAnsi="Times New Roman" w:cs="Times New Roman"/>
        <w:sz w:val="24"/>
        <w:szCs w:val="24"/>
      </w:rPr>
      <w:fldChar w:fldCharType="separate"/>
    </w:r>
    <w:r w:rsidR="00090777">
      <w:rPr>
        <w:rFonts w:ascii="Times New Roman" w:hAnsi="Times New Roman" w:cs="Times New Roman"/>
        <w:noProof/>
        <w:sz w:val="24"/>
        <w:szCs w:val="24"/>
      </w:rPr>
      <w:t>1</w:t>
    </w:r>
    <w:r w:rsidRPr="00ED064F">
      <w:rPr>
        <w:rFonts w:ascii="Times New Roman" w:hAnsi="Times New Roman" w:cs="Times New Roman"/>
        <w:noProof/>
        <w:sz w:val="24"/>
        <w:szCs w:val="24"/>
      </w:rPr>
      <w:fldChar w:fldCharType="end"/>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FFFFFFFF"/>
    <w:lvl w:ilvl="0">
      <w:start w:val="1"/>
      <w:numFmt w:val="bullet"/>
      <w:lvlText w:val=""/>
      <w:lvlJc w:val="left"/>
      <w:pPr>
        <w:tabs>
          <w:tab w:val="left" w:pos="720"/>
        </w:tabs>
        <w:ind w:left="720" w:hanging="360"/>
      </w:pPr>
      <w:rPr>
        <w:rFonts w:ascii="Symbol" w:hAnsi="Symbol" w:hint="default"/>
        <w:sz w:val="20"/>
      </w:rPr>
    </w:lvl>
    <w:lvl w:ilvl="1" w:tentative="1">
      <w:start w:val="1"/>
      <w:numFmt w:val="bullet"/>
      <w:lvlText w:val=""/>
      <w:lvlJc w:val="left"/>
      <w:pPr>
        <w:tabs>
          <w:tab w:val="left" w:pos="1440"/>
        </w:tabs>
        <w:ind w:left="1440" w:hanging="360"/>
      </w:pPr>
      <w:rPr>
        <w:rFonts w:ascii="Symbol" w:hAnsi="Symbol" w:hint="default"/>
        <w:sz w:val="20"/>
      </w:rPr>
    </w:lvl>
    <w:lvl w:ilvl="2" w:tentative="1">
      <w:start w:val="1"/>
      <w:numFmt w:val="bullet"/>
      <w:lvlText w:val=""/>
      <w:lvlJc w:val="left"/>
      <w:pPr>
        <w:tabs>
          <w:tab w:val="left" w:pos="2160"/>
        </w:tabs>
        <w:ind w:left="2160" w:hanging="360"/>
      </w:pPr>
      <w:rPr>
        <w:rFonts w:ascii="Symbol" w:hAnsi="Symbol" w:hint="default"/>
        <w:sz w:val="20"/>
      </w:rPr>
    </w:lvl>
    <w:lvl w:ilvl="3" w:tentative="1">
      <w:start w:val="1"/>
      <w:numFmt w:val="bullet"/>
      <w:lvlText w:val=""/>
      <w:lvlJc w:val="left"/>
      <w:pPr>
        <w:tabs>
          <w:tab w:val="left" w:pos="2880"/>
        </w:tabs>
        <w:ind w:left="2880" w:hanging="360"/>
      </w:pPr>
      <w:rPr>
        <w:rFonts w:ascii="Symbol" w:hAnsi="Symbol" w:hint="default"/>
        <w:sz w:val="20"/>
      </w:rPr>
    </w:lvl>
    <w:lvl w:ilvl="4" w:tentative="1">
      <w:start w:val="1"/>
      <w:numFmt w:val="bullet"/>
      <w:lvlText w:val=""/>
      <w:lvlJc w:val="left"/>
      <w:pPr>
        <w:tabs>
          <w:tab w:val="left" w:pos="3600"/>
        </w:tabs>
        <w:ind w:left="3600" w:hanging="360"/>
      </w:pPr>
      <w:rPr>
        <w:rFonts w:ascii="Symbol" w:hAnsi="Symbol" w:hint="default"/>
        <w:sz w:val="20"/>
      </w:rPr>
    </w:lvl>
    <w:lvl w:ilvl="5" w:tentative="1">
      <w:start w:val="1"/>
      <w:numFmt w:val="bullet"/>
      <w:lvlText w:val=""/>
      <w:lvlJc w:val="left"/>
      <w:pPr>
        <w:tabs>
          <w:tab w:val="left" w:pos="4320"/>
        </w:tabs>
        <w:ind w:left="4320" w:hanging="360"/>
      </w:pPr>
      <w:rPr>
        <w:rFonts w:ascii="Symbol" w:hAnsi="Symbol" w:hint="default"/>
        <w:sz w:val="20"/>
      </w:rPr>
    </w:lvl>
    <w:lvl w:ilvl="6" w:tentative="1">
      <w:start w:val="1"/>
      <w:numFmt w:val="bullet"/>
      <w:lvlText w:val=""/>
      <w:lvlJc w:val="left"/>
      <w:pPr>
        <w:tabs>
          <w:tab w:val="left" w:pos="5040"/>
        </w:tabs>
        <w:ind w:left="5040" w:hanging="360"/>
      </w:pPr>
      <w:rPr>
        <w:rFonts w:ascii="Symbol" w:hAnsi="Symbol" w:hint="default"/>
        <w:sz w:val="20"/>
      </w:rPr>
    </w:lvl>
    <w:lvl w:ilvl="7" w:tentative="1">
      <w:start w:val="1"/>
      <w:numFmt w:val="bullet"/>
      <w:lvlText w:val=""/>
      <w:lvlJc w:val="left"/>
      <w:pPr>
        <w:tabs>
          <w:tab w:val="left" w:pos="5760"/>
        </w:tabs>
        <w:ind w:left="5760" w:hanging="360"/>
      </w:pPr>
      <w:rPr>
        <w:rFonts w:ascii="Symbol" w:hAnsi="Symbol" w:hint="default"/>
        <w:sz w:val="20"/>
      </w:rPr>
    </w:lvl>
    <w:lvl w:ilvl="8" w:tentative="1">
      <w:start w:val="1"/>
      <w:numFmt w:val="bullet"/>
      <w:lvlText w:val=""/>
      <w:lvlJc w:val="left"/>
      <w:pPr>
        <w:tabs>
          <w:tab w:val="left" w:pos="6480"/>
        </w:tabs>
        <w:ind w:left="6480" w:hanging="360"/>
      </w:pPr>
      <w:rPr>
        <w:rFonts w:ascii="Symbol" w:hAnsi="Symbol" w:hint="default"/>
        <w:sz w:val="20"/>
      </w:rPr>
    </w:lvl>
  </w:abstractNum>
  <w:abstractNum w:abstractNumId="1" w15:restartNumberingAfterBreak="0">
    <w:nsid w:val="301852FD"/>
    <w:multiLevelType w:val="multilevel"/>
    <w:tmpl w:val="FFFFFFFF"/>
    <w:lvl w:ilvl="0">
      <w:start w:val="1"/>
      <w:numFmt w:val="bullet"/>
      <w:lvlText w:val=""/>
      <w:lvlJc w:val="left"/>
      <w:pPr>
        <w:tabs>
          <w:tab w:val="left" w:pos="720"/>
        </w:tabs>
        <w:ind w:left="720" w:hanging="360"/>
      </w:pPr>
      <w:rPr>
        <w:rFonts w:ascii="Symbol" w:hAnsi="Symbol" w:hint="default"/>
        <w:sz w:val="20"/>
      </w:rPr>
    </w:lvl>
    <w:lvl w:ilvl="1" w:tentative="1">
      <w:start w:val="1"/>
      <w:numFmt w:val="bullet"/>
      <w:lvlText w:val=""/>
      <w:lvlJc w:val="left"/>
      <w:pPr>
        <w:tabs>
          <w:tab w:val="left" w:pos="1440"/>
        </w:tabs>
        <w:ind w:left="1440" w:hanging="360"/>
      </w:pPr>
      <w:rPr>
        <w:rFonts w:ascii="Symbol" w:hAnsi="Symbol" w:hint="default"/>
        <w:sz w:val="20"/>
      </w:rPr>
    </w:lvl>
    <w:lvl w:ilvl="2" w:tentative="1">
      <w:start w:val="1"/>
      <w:numFmt w:val="bullet"/>
      <w:lvlText w:val=""/>
      <w:lvlJc w:val="left"/>
      <w:pPr>
        <w:tabs>
          <w:tab w:val="left" w:pos="2160"/>
        </w:tabs>
        <w:ind w:left="2160" w:hanging="360"/>
      </w:pPr>
      <w:rPr>
        <w:rFonts w:ascii="Symbol" w:hAnsi="Symbol" w:hint="default"/>
        <w:sz w:val="20"/>
      </w:rPr>
    </w:lvl>
    <w:lvl w:ilvl="3" w:tentative="1">
      <w:start w:val="1"/>
      <w:numFmt w:val="bullet"/>
      <w:lvlText w:val=""/>
      <w:lvlJc w:val="left"/>
      <w:pPr>
        <w:tabs>
          <w:tab w:val="left" w:pos="2880"/>
        </w:tabs>
        <w:ind w:left="2880" w:hanging="360"/>
      </w:pPr>
      <w:rPr>
        <w:rFonts w:ascii="Symbol" w:hAnsi="Symbol" w:hint="default"/>
        <w:sz w:val="20"/>
      </w:rPr>
    </w:lvl>
    <w:lvl w:ilvl="4" w:tentative="1">
      <w:start w:val="1"/>
      <w:numFmt w:val="bullet"/>
      <w:lvlText w:val=""/>
      <w:lvlJc w:val="left"/>
      <w:pPr>
        <w:tabs>
          <w:tab w:val="left" w:pos="3600"/>
        </w:tabs>
        <w:ind w:left="3600" w:hanging="360"/>
      </w:pPr>
      <w:rPr>
        <w:rFonts w:ascii="Symbol" w:hAnsi="Symbol" w:hint="default"/>
        <w:sz w:val="20"/>
      </w:rPr>
    </w:lvl>
    <w:lvl w:ilvl="5" w:tentative="1">
      <w:start w:val="1"/>
      <w:numFmt w:val="bullet"/>
      <w:lvlText w:val=""/>
      <w:lvlJc w:val="left"/>
      <w:pPr>
        <w:tabs>
          <w:tab w:val="left" w:pos="4320"/>
        </w:tabs>
        <w:ind w:left="4320" w:hanging="360"/>
      </w:pPr>
      <w:rPr>
        <w:rFonts w:ascii="Symbol" w:hAnsi="Symbol" w:hint="default"/>
        <w:sz w:val="20"/>
      </w:rPr>
    </w:lvl>
    <w:lvl w:ilvl="6" w:tentative="1">
      <w:start w:val="1"/>
      <w:numFmt w:val="bullet"/>
      <w:lvlText w:val=""/>
      <w:lvlJc w:val="left"/>
      <w:pPr>
        <w:tabs>
          <w:tab w:val="left" w:pos="5040"/>
        </w:tabs>
        <w:ind w:left="5040" w:hanging="360"/>
      </w:pPr>
      <w:rPr>
        <w:rFonts w:ascii="Symbol" w:hAnsi="Symbol" w:hint="default"/>
        <w:sz w:val="20"/>
      </w:rPr>
    </w:lvl>
    <w:lvl w:ilvl="7" w:tentative="1">
      <w:start w:val="1"/>
      <w:numFmt w:val="bullet"/>
      <w:lvlText w:val=""/>
      <w:lvlJc w:val="left"/>
      <w:pPr>
        <w:tabs>
          <w:tab w:val="left" w:pos="5760"/>
        </w:tabs>
        <w:ind w:left="5760" w:hanging="360"/>
      </w:pPr>
      <w:rPr>
        <w:rFonts w:ascii="Symbol" w:hAnsi="Symbol" w:hint="default"/>
        <w:sz w:val="20"/>
      </w:rPr>
    </w:lvl>
    <w:lvl w:ilvl="8" w:tentative="1">
      <w:start w:val="1"/>
      <w:numFmt w:val="bullet"/>
      <w:lvlText w:val=""/>
      <w:lvlJc w:val="left"/>
      <w:pPr>
        <w:tabs>
          <w:tab w:val="left" w:pos="6480"/>
        </w:tabs>
        <w:ind w:left="6480" w:hanging="360"/>
      </w:pPr>
      <w:rPr>
        <w:rFonts w:ascii="Symbol" w:hAnsi="Symbol"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7C1D"/>
    <w:rsid w:val="00090777"/>
    <w:rsid w:val="000F0079"/>
    <w:rsid w:val="001948E4"/>
    <w:rsid w:val="002066C9"/>
    <w:rsid w:val="00291D89"/>
    <w:rsid w:val="003031A2"/>
    <w:rsid w:val="00707D3F"/>
    <w:rsid w:val="00766DCF"/>
    <w:rsid w:val="008F7C1D"/>
    <w:rsid w:val="0097464D"/>
    <w:rsid w:val="00AA0982"/>
    <w:rsid w:val="00AB6F1A"/>
    <w:rsid w:val="00C55ECD"/>
    <w:rsid w:val="00ED064F"/>
    <w:rsid w:val="00F111E8"/>
    <w:rsid w:val="00F74BD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E4CD14"/>
  <w15:docId w15:val="{129D7053-7393-A44B-AAA6-8AB6CF0844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Pr>
      <w:b/>
      <w:bCs/>
    </w:rPr>
  </w:style>
  <w:style w:type="character" w:styleId="Emphasis">
    <w:name w:val="Emphasis"/>
    <w:basedOn w:val="DefaultParagraphFont"/>
    <w:uiPriority w:val="20"/>
    <w:qFormat/>
    <w:rPr>
      <w:i/>
      <w:iCs/>
    </w:rPr>
  </w:style>
  <w:style w:type="paragraph" w:styleId="NormalWeb">
    <w:name w:val="Normal (Web)"/>
    <w:basedOn w:val="Normal"/>
    <w:uiPriority w:val="99"/>
    <w:pPr>
      <w:spacing w:before="100" w:beforeAutospacing="1" w:after="100" w:afterAutospacing="1" w:line="240" w:lineRule="auto"/>
    </w:pPr>
    <w:rPr>
      <w:rFonts w:ascii="Times New Roman" w:hAnsi="Times New Roman" w:cs="Times New Roman"/>
      <w:sz w:val="24"/>
      <w:szCs w:val="24"/>
    </w:rPr>
  </w:style>
  <w:style w:type="paragraph" w:styleId="Header">
    <w:name w:val="header"/>
    <w:basedOn w:val="Normal"/>
    <w:link w:val="HeaderChar"/>
    <w:uiPriority w:val="99"/>
    <w:unhideWhenUsed/>
    <w:rsid w:val="00291D89"/>
    <w:pPr>
      <w:tabs>
        <w:tab w:val="center" w:pos="4680"/>
        <w:tab w:val="right" w:pos="9360"/>
      </w:tabs>
      <w:spacing w:after="0" w:line="240" w:lineRule="auto"/>
    </w:pPr>
  </w:style>
  <w:style w:type="character" w:customStyle="1" w:styleId="HeaderChar">
    <w:name w:val="Header Char"/>
    <w:basedOn w:val="DefaultParagraphFont"/>
    <w:link w:val="Header"/>
    <w:uiPriority w:val="99"/>
    <w:rsid w:val="00291D89"/>
  </w:style>
  <w:style w:type="paragraph" w:styleId="Footer">
    <w:name w:val="footer"/>
    <w:basedOn w:val="Normal"/>
    <w:link w:val="FooterChar"/>
    <w:uiPriority w:val="99"/>
    <w:unhideWhenUsed/>
    <w:rsid w:val="00291D89"/>
    <w:pPr>
      <w:tabs>
        <w:tab w:val="center" w:pos="4680"/>
        <w:tab w:val="right" w:pos="9360"/>
      </w:tabs>
      <w:spacing w:after="0" w:line="240" w:lineRule="auto"/>
    </w:pPr>
  </w:style>
  <w:style w:type="character" w:customStyle="1" w:styleId="FooterChar">
    <w:name w:val="Footer Char"/>
    <w:basedOn w:val="DefaultParagraphFont"/>
    <w:link w:val="Footer"/>
    <w:uiPriority w:val="99"/>
    <w:rsid w:val="00291D89"/>
  </w:style>
  <w:style w:type="character" w:styleId="PageNumber">
    <w:name w:val="page number"/>
    <w:basedOn w:val="DefaultParagraphFont"/>
    <w:uiPriority w:val="99"/>
    <w:semiHidden/>
    <w:unhideWhenUsed/>
    <w:rsid w:val="00291D8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746</Words>
  <Characters>4258</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Tonny Mutai</dc:creator>
  <cp:lastModifiedBy>Windows User</cp:lastModifiedBy>
  <cp:revision>2</cp:revision>
  <dcterms:created xsi:type="dcterms:W3CDTF">2019-10-28T04:31:00Z</dcterms:created>
  <dcterms:modified xsi:type="dcterms:W3CDTF">2019-10-28T04:31:00Z</dcterms:modified>
</cp:coreProperties>
</file>